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64" w:type="dxa"/>
        <w:tblLook w:val="0000" w:firstRow="0" w:lastRow="0" w:firstColumn="0" w:lastColumn="0" w:noHBand="0" w:noVBand="0"/>
      </w:tblPr>
      <w:tblGrid>
        <w:gridCol w:w="4642"/>
        <w:gridCol w:w="4643"/>
      </w:tblGrid>
      <w:tr w:rsidR="0038190B" w14:paraId="1ED30077" w14:textId="77777777" w:rsidTr="000D7E4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42" w:type="dxa"/>
          </w:tcPr>
          <w:p w14:paraId="6B3CC9CC" w14:textId="77777777" w:rsidR="0038190B" w:rsidRP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190B">
              <w:rPr>
                <w:rFonts w:ascii="Times New Roman" w:eastAsia="Times New Roman" w:hAnsi="Times New Roman" w:cs="Times New Roman"/>
                <w:b/>
                <w:bCs/>
              </w:rPr>
              <w:t xml:space="preserve">Утверждено </w:t>
            </w:r>
          </w:p>
          <w:p w14:paraId="74A93F9F" w14:textId="56914053" w:rsidR="0038190B" w:rsidRP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38190B"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38190B">
              <w:rPr>
                <w:rFonts w:ascii="Times New Roman" w:eastAsia="Times New Roman" w:hAnsi="Times New Roman" w:cs="Times New Roman"/>
                <w:bCs/>
              </w:rPr>
              <w:t>ешением</w:t>
            </w:r>
            <w:r w:rsidRPr="0038190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8190B">
              <w:rPr>
                <w:rFonts w:ascii="Times New Roman" w:hAnsi="Times New Roman" w:cs="Times New Roman"/>
              </w:rPr>
              <w:t>Общего собрания членов</w:t>
            </w:r>
            <w:r>
              <w:rPr>
                <w:rFonts w:ascii="Times New Roman" w:hAnsi="Times New Roman" w:cs="Times New Roman"/>
              </w:rPr>
              <w:t xml:space="preserve"> Союза</w:t>
            </w:r>
          </w:p>
          <w:p w14:paraId="0B117A94" w14:textId="49F14B8B" w:rsidR="0038190B" w:rsidRPr="0038190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38190B">
              <w:rPr>
                <w:rFonts w:ascii="Times New Roman" w:hAnsi="Times New Roman" w:cs="Times New Roman"/>
              </w:rPr>
              <w:t>ротокол № 06/2017 от 06.06.2017 г.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3" w:type="dxa"/>
          </w:tcPr>
          <w:p w14:paraId="1305FE67" w14:textId="77777777" w:rsidR="0038190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Утверждено </w:t>
            </w:r>
            <w:r w:rsidRPr="00A2410A">
              <w:rPr>
                <w:rFonts w:ascii="Times New Roman" w:hAnsi="Times New Roman" w:cs="Times New Roman"/>
              </w:rPr>
              <w:t xml:space="preserve"> </w:t>
            </w:r>
          </w:p>
          <w:p w14:paraId="2F273F4C" w14:textId="285B68C2" w:rsid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38190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38190B">
              <w:rPr>
                <w:rFonts w:ascii="Times New Roman" w:hAnsi="Times New Roman" w:cs="Times New Roman"/>
              </w:rPr>
              <w:t>Общего собрания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Союза</w:t>
            </w:r>
          </w:p>
          <w:p w14:paraId="0D3909F9" w14:textId="0CF573B5" w:rsidR="0038190B" w:rsidRPr="00A2410A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ED08C8">
              <w:rPr>
                <w:rFonts w:ascii="Times New Roman" w:hAnsi="Times New Roman" w:cs="Times New Roman"/>
              </w:rPr>
              <w:t xml:space="preserve">ротокол № </w:t>
            </w:r>
            <w:r>
              <w:rPr>
                <w:rFonts w:ascii="Times New Roman" w:hAnsi="Times New Roman" w:cs="Times New Roman"/>
              </w:rPr>
              <w:t>18/2022 от 08.04.</w:t>
            </w:r>
            <w:r w:rsidRPr="00ED08C8">
              <w:rPr>
                <w:rFonts w:ascii="Times New Roman" w:hAnsi="Times New Roman" w:cs="Times New Roman"/>
              </w:rPr>
              <w:t xml:space="preserve"> 2022 г.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ACFBEAE" w14:textId="78B67773" w:rsid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190B" w14:paraId="3CAA59CE" w14:textId="77777777" w:rsidTr="000D7E4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642" w:type="dxa"/>
          </w:tcPr>
          <w:p w14:paraId="0CB9001A" w14:textId="77777777" w:rsidR="0038190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Утверждено </w:t>
            </w:r>
            <w:r w:rsidRPr="00A2410A">
              <w:rPr>
                <w:rFonts w:ascii="Times New Roman" w:hAnsi="Times New Roman" w:cs="Times New Roman"/>
              </w:rPr>
              <w:t xml:space="preserve"> </w:t>
            </w:r>
          </w:p>
          <w:p w14:paraId="12AD8483" w14:textId="1D5D88F2" w:rsidR="0038190B" w:rsidRP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38190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38190B">
              <w:rPr>
                <w:rFonts w:ascii="Times New Roman" w:hAnsi="Times New Roman" w:cs="Times New Roman"/>
              </w:rPr>
              <w:t>Общего собрания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Союза</w:t>
            </w:r>
          </w:p>
          <w:p w14:paraId="56A20FA9" w14:textId="24B36403" w:rsidR="0038190B" w:rsidRDefault="0038190B" w:rsidP="00381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>
              <w:rPr>
                <w:rFonts w:ascii="Times New Roman" w:hAnsi="Times New Roman" w:cs="Times New Roman"/>
              </w:rPr>
              <w:t>ротокол № 09/2018 от 27.09.2018</w:t>
            </w:r>
            <w:r w:rsidRPr="00A2410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BF031E1" w14:textId="77777777" w:rsid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3" w:type="dxa"/>
          </w:tcPr>
          <w:p w14:paraId="4396F13E" w14:textId="77777777" w:rsidR="000D7E43" w:rsidRDefault="000D7E43" w:rsidP="000D7E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Утверждено </w:t>
            </w:r>
            <w:r w:rsidRPr="00A2410A">
              <w:rPr>
                <w:rFonts w:ascii="Times New Roman" w:hAnsi="Times New Roman" w:cs="Times New Roman"/>
              </w:rPr>
              <w:t xml:space="preserve"> </w:t>
            </w:r>
          </w:p>
          <w:p w14:paraId="0C89477A" w14:textId="5D053A34" w:rsidR="000D7E43" w:rsidRDefault="000D7E43" w:rsidP="000D7E43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 w:rsidRPr="0038190B">
              <w:rPr>
                <w:rFonts w:ascii="Times New Roman" w:eastAsia="Times New Roman" w:hAnsi="Times New Roman" w:cs="Times New Roman"/>
                <w:bCs/>
              </w:rPr>
              <w:t xml:space="preserve">решением </w:t>
            </w:r>
            <w:r w:rsidRPr="0038190B">
              <w:rPr>
                <w:rFonts w:ascii="Times New Roman" w:hAnsi="Times New Roman" w:cs="Times New Roman"/>
              </w:rPr>
              <w:t>Общего собрания членов</w:t>
            </w:r>
            <w:r>
              <w:rPr>
                <w:rFonts w:ascii="Times New Roman" w:hAnsi="Times New Roman" w:cs="Times New Roman"/>
              </w:rPr>
              <w:t xml:space="preserve"> Союза</w:t>
            </w:r>
          </w:p>
          <w:p w14:paraId="0987CDFE" w14:textId="7291986B" w:rsidR="000D7E43" w:rsidRPr="00A2410A" w:rsidRDefault="000D7E43" w:rsidP="000D7E43">
            <w:pPr>
              <w:tabs>
                <w:tab w:val="left" w:pos="5954"/>
              </w:tabs>
              <w:spacing w:after="0"/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ED08C8">
              <w:rPr>
                <w:rFonts w:ascii="Times New Roman" w:hAnsi="Times New Roman" w:cs="Times New Roman"/>
              </w:rPr>
              <w:t xml:space="preserve">ротокол № 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93DA331" w14:textId="5E9DEF3F" w:rsidR="0038190B" w:rsidRDefault="0038190B" w:rsidP="0038190B">
            <w:pPr>
              <w:tabs>
                <w:tab w:val="left" w:pos="5954"/>
              </w:tabs>
              <w:spacing w:after="0"/>
              <w:ind w:right="4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547B7F7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219022AF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B001F3D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4E0646BF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F1F67C7" w14:textId="77777777" w:rsidR="0038190B" w:rsidRDefault="0038190B" w:rsidP="0038190B">
      <w:pPr>
        <w:tabs>
          <w:tab w:val="left" w:pos="5954"/>
        </w:tabs>
        <w:spacing w:after="0"/>
        <w:ind w:right="40"/>
        <w:rPr>
          <w:rFonts w:ascii="Times New Roman" w:eastAsia="Times New Roman" w:hAnsi="Times New Roman" w:cs="Times New Roman"/>
          <w:b/>
          <w:bCs/>
        </w:rPr>
      </w:pPr>
    </w:p>
    <w:p w14:paraId="09412D08" w14:textId="77777777" w:rsidR="0038190B" w:rsidRPr="00A2410A" w:rsidRDefault="0038190B" w:rsidP="003819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14:paraId="39FC0166" w14:textId="0F994BFC" w:rsidR="0038190B" w:rsidRDefault="0038190B" w:rsidP="0038190B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  <w:r w:rsidRPr="00A2410A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14:paraId="13CE7721" w14:textId="77777777" w:rsidR="0038190B" w:rsidRDefault="0038190B" w:rsidP="0038190B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</w:rPr>
      </w:pPr>
    </w:p>
    <w:p w14:paraId="0C84BB93" w14:textId="77777777" w:rsidR="0028575B" w:rsidRPr="00A2410A" w:rsidRDefault="0028575B" w:rsidP="0038190B">
      <w:pPr>
        <w:pStyle w:val="a3"/>
        <w:spacing w:before="0" w:beforeAutospacing="0" w:after="0" w:afterAutospacing="0"/>
      </w:pPr>
    </w:p>
    <w:p w14:paraId="5B1CA3E2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C7F8C1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69EF448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B0E44DA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3D7418BE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9E5F7AF" w14:textId="77777777" w:rsidR="0028575B" w:rsidRPr="00A2410A" w:rsidRDefault="0028575B" w:rsidP="0028575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6F15962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6171A9F" w14:textId="77777777" w:rsidR="000D7E43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10A">
        <w:rPr>
          <w:rFonts w:ascii="Times New Roman" w:hAnsi="Times New Roman" w:cs="Times New Roman"/>
          <w:sz w:val="28"/>
          <w:szCs w:val="28"/>
        </w:rPr>
        <w:t xml:space="preserve">О КОМПЕНСАЦИОННОМ ФОНДЕ </w:t>
      </w:r>
    </w:p>
    <w:p w14:paraId="63FEE615" w14:textId="7737E34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10A">
        <w:rPr>
          <w:rFonts w:ascii="Times New Roman" w:hAnsi="Times New Roman" w:cs="Times New Roman"/>
          <w:sz w:val="28"/>
          <w:szCs w:val="28"/>
        </w:rPr>
        <w:t>ОБЕСПЕЧЕНИЯ ДОГОВОРНЫХ ОБЯЗАТЕЛЬСТВ САМОРЕГУЛИРУЕМОЙ ОРГАНИЗАЦИИ</w:t>
      </w:r>
    </w:p>
    <w:p w14:paraId="44CD9988" w14:textId="581188BD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410A">
        <w:rPr>
          <w:rFonts w:ascii="Times New Roman" w:hAnsi="Times New Roman" w:cs="Times New Roman"/>
          <w:sz w:val="28"/>
          <w:szCs w:val="28"/>
        </w:rPr>
        <w:t>СОЮЗ</w:t>
      </w:r>
      <w:r w:rsidR="000D7E43">
        <w:rPr>
          <w:rFonts w:ascii="Times New Roman" w:hAnsi="Times New Roman" w:cs="Times New Roman"/>
          <w:sz w:val="28"/>
          <w:szCs w:val="28"/>
        </w:rPr>
        <w:t>А</w:t>
      </w:r>
      <w:r w:rsidRPr="00A2410A">
        <w:rPr>
          <w:rFonts w:ascii="Times New Roman" w:hAnsi="Times New Roman" w:cs="Times New Roman"/>
          <w:sz w:val="28"/>
          <w:szCs w:val="28"/>
        </w:rPr>
        <w:t xml:space="preserve"> </w:t>
      </w:r>
      <w:r w:rsidR="000D7E43">
        <w:rPr>
          <w:rFonts w:ascii="Times New Roman" w:hAnsi="Times New Roman" w:cs="Times New Roman"/>
          <w:sz w:val="28"/>
          <w:szCs w:val="28"/>
        </w:rPr>
        <w:t xml:space="preserve">ПРОЕКТНЫХ ОРГАНИЗАЦИЙ </w:t>
      </w:r>
      <w:r w:rsidRPr="00A2410A">
        <w:rPr>
          <w:rFonts w:ascii="Times New Roman" w:hAnsi="Times New Roman" w:cs="Times New Roman"/>
          <w:sz w:val="28"/>
          <w:szCs w:val="28"/>
        </w:rPr>
        <w:t>«ПроЭк»</w:t>
      </w:r>
    </w:p>
    <w:p w14:paraId="1E87D172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5B7AD07D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119D2F98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56378813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2B6C2109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6E3C31D4" w14:textId="77777777" w:rsidR="0028575B" w:rsidRPr="00A2410A" w:rsidRDefault="0028575B" w:rsidP="0028575B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14:paraId="165090DF" w14:textId="77777777" w:rsidR="0028575B" w:rsidRDefault="0028575B" w:rsidP="0028575B">
      <w:pPr>
        <w:spacing w:after="0"/>
        <w:rPr>
          <w:b/>
          <w:sz w:val="40"/>
          <w:szCs w:val="40"/>
        </w:rPr>
      </w:pPr>
    </w:p>
    <w:p w14:paraId="2BD2826C" w14:textId="77777777" w:rsidR="0028575B" w:rsidRDefault="0028575B" w:rsidP="0028575B">
      <w:pPr>
        <w:spacing w:after="0"/>
        <w:rPr>
          <w:b/>
          <w:sz w:val="40"/>
          <w:szCs w:val="40"/>
        </w:rPr>
      </w:pPr>
    </w:p>
    <w:p w14:paraId="45E220AE" w14:textId="33B7A283" w:rsidR="0028575B" w:rsidRDefault="0028575B" w:rsidP="0028575B">
      <w:pPr>
        <w:spacing w:after="0"/>
        <w:rPr>
          <w:b/>
          <w:sz w:val="40"/>
          <w:szCs w:val="40"/>
        </w:rPr>
      </w:pPr>
    </w:p>
    <w:p w14:paraId="26E24BFD" w14:textId="20203639" w:rsidR="000D7E43" w:rsidRDefault="000D7E43" w:rsidP="0028575B">
      <w:pPr>
        <w:spacing w:after="0"/>
        <w:rPr>
          <w:b/>
          <w:sz w:val="40"/>
          <w:szCs w:val="40"/>
        </w:rPr>
      </w:pPr>
    </w:p>
    <w:p w14:paraId="0ECCEDF2" w14:textId="36D286FE" w:rsidR="000D7E43" w:rsidRDefault="000D7E43" w:rsidP="0028575B">
      <w:pPr>
        <w:spacing w:after="0"/>
        <w:rPr>
          <w:b/>
          <w:sz w:val="40"/>
          <w:szCs w:val="40"/>
        </w:rPr>
      </w:pPr>
    </w:p>
    <w:p w14:paraId="0F0C9CF0" w14:textId="3CD25F51" w:rsidR="0028575B" w:rsidRPr="00A2410A" w:rsidRDefault="007E20DA" w:rsidP="007E20DA">
      <w:pPr>
        <w:spacing w:after="0" w:line="240" w:lineRule="auto"/>
        <w:ind w:left="-567" w:right="-426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8575B" w:rsidRPr="00A2410A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14:paraId="71ED61FA" w14:textId="45BEB059" w:rsidR="0028575B" w:rsidRPr="000D7E43" w:rsidRDefault="0028575B" w:rsidP="000D7E43">
      <w:pPr>
        <w:pStyle w:val="a5"/>
        <w:numPr>
          <w:ilvl w:val="0"/>
          <w:numId w:val="2"/>
        </w:num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0D7E43">
        <w:rPr>
          <w:rFonts w:ascii="Times New Roman" w:hAnsi="Times New Roman" w:cs="Times New Roman"/>
          <w:b/>
          <w:sz w:val="24"/>
          <w:szCs w:val="24"/>
        </w:rPr>
        <w:t>г.</w:t>
      </w:r>
    </w:p>
    <w:p w14:paraId="3AD495E7" w14:textId="77777777" w:rsidR="0028575B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3CF76" w14:textId="54FB671B" w:rsidR="0028575B" w:rsidRPr="000D7E43" w:rsidRDefault="000D7E43" w:rsidP="000D7E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575B" w:rsidRPr="000D7E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DCC01B9" w14:textId="7DE5CE0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1.1 Настоящее Положение регулирует вопросы формирования, размещения компенсационного фонда обеспечения договорных обязательств Саморегулируемой организации</w:t>
      </w:r>
      <w:r w:rsidR="00952316">
        <w:rPr>
          <w:rFonts w:ascii="Times New Roman" w:hAnsi="Times New Roman" w:cs="Times New Roman"/>
          <w:sz w:val="24"/>
          <w:szCs w:val="24"/>
        </w:rPr>
        <w:t xml:space="preserve"> Союза проектных организаций «ПроЭк (далее – Союз)</w:t>
      </w:r>
      <w:r w:rsidRPr="00A2410A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  <w:bookmarkStart w:id="0" w:name="_GoBack"/>
      <w:bookmarkEnd w:id="0"/>
    </w:p>
    <w:p w14:paraId="666AE0D5" w14:textId="77777777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1.2. </w:t>
      </w:r>
      <w:r w:rsidRPr="00EE11C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действующим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E11CE">
        <w:rPr>
          <w:rFonts w:ascii="Times New Roman" w:hAnsi="Times New Roman" w:cs="Times New Roman"/>
          <w:sz w:val="24"/>
          <w:szCs w:val="24"/>
        </w:rPr>
        <w:t>.</w:t>
      </w:r>
    </w:p>
    <w:p w14:paraId="2D404849" w14:textId="28C1F11A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1EA7E" w14:textId="28CA089A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14:paraId="2E2DB2AD" w14:textId="68CD6229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952316">
        <w:rPr>
          <w:rFonts w:ascii="Times New Roman" w:hAnsi="Times New Roman" w:cs="Times New Roman"/>
          <w:sz w:val="24"/>
          <w:szCs w:val="24"/>
        </w:rPr>
        <w:t>Союзом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14:paraId="2A2C5497" w14:textId="105D8A5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1.6. </w:t>
      </w:r>
      <w:r w:rsidR="00952316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14:paraId="01B5F21C" w14:textId="399FB025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14:paraId="3C15DA10" w14:textId="5AD1894D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судом несостоятельн</w:t>
      </w:r>
      <w:r w:rsidR="00952316">
        <w:rPr>
          <w:rFonts w:ascii="Times New Roman" w:hAnsi="Times New Roman" w:cs="Times New Roman"/>
          <w:sz w:val="24"/>
          <w:szCs w:val="24"/>
        </w:rPr>
        <w:t>ым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(банкротом).  </w:t>
      </w:r>
    </w:p>
    <w:p w14:paraId="2D5B7301" w14:textId="77777777" w:rsidR="0028575B" w:rsidRPr="00A2410A" w:rsidRDefault="0028575B" w:rsidP="0028575B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14:paraId="1E0D852D" w14:textId="77777777" w:rsidR="000D7E43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КОМПЕНСАЦИОННОГО ФОНДА </w:t>
      </w:r>
    </w:p>
    <w:p w14:paraId="2857BA04" w14:textId="69B3493C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24348BF2" w14:textId="1102C7F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2.1. Компенсационный фонд обеспечения договорных обяза</w:t>
      </w:r>
      <w:r w:rsidR="00952316">
        <w:rPr>
          <w:rFonts w:ascii="Times New Roman" w:hAnsi="Times New Roman" w:cs="Times New Roman"/>
          <w:sz w:val="24"/>
          <w:szCs w:val="24"/>
        </w:rPr>
        <w:t>тельств формируется по решению п</w:t>
      </w:r>
      <w:r w:rsidRPr="00A2410A">
        <w:rPr>
          <w:rFonts w:ascii="Times New Roman" w:hAnsi="Times New Roman" w:cs="Times New Roman"/>
          <w:sz w:val="24"/>
          <w:szCs w:val="24"/>
        </w:rPr>
        <w:t xml:space="preserve">резидиума Союза в случае, если не менее чем пятнадцать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с указанием предполагаемого уровня ответственности по обязательствам. </w:t>
      </w:r>
    </w:p>
    <w:p w14:paraId="0EE99BEF" w14:textId="072D8CB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2.2. Размер данного компенсационного фонда рассчитывается как сумма определенных для каждого уровня ответственности по обязательствам членов С</w:t>
      </w:r>
      <w:r w:rsidR="00952316">
        <w:rPr>
          <w:rFonts w:ascii="Times New Roman" w:hAnsi="Times New Roman" w:cs="Times New Roman"/>
          <w:sz w:val="24"/>
          <w:szCs w:val="24"/>
        </w:rPr>
        <w:t>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обязательствам, в соответствии со ст. 55.16 Градостроительного кодекса Российской Федерации. </w:t>
      </w:r>
    </w:p>
    <w:p w14:paraId="330FCB35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14:paraId="7FF3909C" w14:textId="563ADAF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сформированного в соответствии Градостроительны</w:t>
      </w:r>
      <w:r w:rsidR="00952316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A2410A">
        <w:rPr>
          <w:rFonts w:ascii="Times New Roman" w:hAnsi="Times New Roman" w:cs="Times New Roman"/>
          <w:sz w:val="24"/>
          <w:szCs w:val="24"/>
        </w:rPr>
        <w:t xml:space="preserve"> от 29.12.2004 N 190-ФЗ</w:t>
      </w:r>
      <w:r w:rsidR="00952316">
        <w:rPr>
          <w:rFonts w:ascii="Times New Roman" w:hAnsi="Times New Roman" w:cs="Times New Roman"/>
          <w:sz w:val="24"/>
          <w:szCs w:val="24"/>
        </w:rPr>
        <w:t xml:space="preserve"> (в редакции от 27.07.2010 г.),</w:t>
      </w:r>
      <w:r w:rsidRPr="00A2410A">
        <w:rPr>
          <w:rFonts w:ascii="Times New Roman" w:hAnsi="Times New Roman" w:cs="Times New Roman"/>
          <w:sz w:val="24"/>
          <w:szCs w:val="24"/>
        </w:rPr>
        <w:t xml:space="preserve"> которые однозначно определены, как подлежащие зачислению в компенсационный фонд обеспечения договорных обязательств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 основании заявлений действующих членов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высказавших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14:paraId="3DFFA124" w14:textId="4126ACF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952316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подготовку проектной документации с использованием конкурентны</w:t>
      </w:r>
      <w:r w:rsidR="00952316">
        <w:rPr>
          <w:rFonts w:ascii="Times New Roman" w:hAnsi="Times New Roman" w:cs="Times New Roman"/>
          <w:sz w:val="24"/>
          <w:szCs w:val="24"/>
        </w:rPr>
        <w:t>х способов заключения договоров исходя из уровня ответственности;</w:t>
      </w:r>
    </w:p>
    <w:p w14:paraId="50A74F49" w14:textId="27C72821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доходов, полученных от размещения средств компенсационного фонда обеспечения договорных обязательств;</w:t>
      </w:r>
    </w:p>
    <w:p w14:paraId="3D997A49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из штрафов, наложенных в качестве меры дисциплинарного воздействия на членов Союза.</w:t>
      </w:r>
    </w:p>
    <w:p w14:paraId="43F52965" w14:textId="5544E0B3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2.4.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952316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DC1825">
        <w:rPr>
          <w:rFonts w:ascii="Times New Roman" w:hAnsi="Times New Roman" w:cs="Times New Roman"/>
          <w:sz w:val="24"/>
          <w:szCs w:val="24"/>
          <w:shd w:val="clear" w:color="auto" w:fill="FFFFFF"/>
        </w:rPr>
        <w:t>Союзе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dst94" w:history="1">
        <w:r w:rsidRPr="004553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ч.13</w:t>
        </w:r>
      </w:hyperlink>
      <w:r w:rsidRPr="00A241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ст. 3.3. </w:t>
      </w:r>
      <w:r w:rsidRPr="00A2410A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Pr="00A241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41F098" w14:textId="0FC109D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2.5. Не допускается освобождение члена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DC1825">
        <w:rPr>
          <w:rFonts w:ascii="Times New Roman" w:hAnsi="Times New Roman" w:cs="Times New Roman"/>
          <w:sz w:val="24"/>
          <w:szCs w:val="24"/>
        </w:rPr>
        <w:t>Союзом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14:paraId="0FB7B616" w14:textId="5D6FDF91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С</w:t>
      </w:r>
      <w:r w:rsidR="00DC1825">
        <w:rPr>
          <w:rFonts w:ascii="Times New Roman" w:hAnsi="Times New Roman" w:cs="Times New Roman"/>
          <w:sz w:val="24"/>
          <w:szCs w:val="24"/>
        </w:rPr>
        <w:t>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EE11CE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14:paraId="15D12CAE" w14:textId="1953294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2.6. Минимальный размер взноса в компенсационный фонд обеспечения договорных обязательств на одного члена </w:t>
      </w:r>
      <w:r w:rsidR="00DC1825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14:paraId="14ABDC04" w14:textId="39DE885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);</w:t>
      </w:r>
    </w:p>
    <w:p w14:paraId="20243FE6" w14:textId="16D2271F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9B4281B" w14:textId="48F86D3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F736D92" w14:textId="5C485DB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).</w:t>
      </w:r>
    </w:p>
    <w:p w14:paraId="0A3F6B1C" w14:textId="143309D1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A2410A">
        <w:t>2.7. Индивидуальные предприниматели и юридические лица, принятые в члены С</w:t>
      </w:r>
      <w:r w:rsidR="00DC1825">
        <w:t>оюза</w:t>
      </w:r>
      <w:r w:rsidRPr="00A2410A">
        <w:t>,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обязаны в течение 7 (семи) рабочих дней со дня получения ув</w:t>
      </w:r>
      <w:r w:rsidR="00DC1825">
        <w:t>едомления о принятии в члены Союза</w:t>
      </w:r>
      <w:r w:rsidRPr="00A2410A">
        <w:t>, уплатить взнос в компенсационный фонд обеспечения договорных обязательств.</w:t>
      </w:r>
    </w:p>
    <w:p w14:paraId="3DFCC865" w14:textId="64466B1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2.8. 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DC1825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по обязательствам, предусмотренным п. 2.7 настоящего Положения, обязан внести дополнительный взнос в компенсационный фонд обеспечения договорных обязательств.</w:t>
      </w:r>
    </w:p>
    <w:p w14:paraId="25A09F83" w14:textId="18F8F47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2.9. Член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 указанный в п.2.8 настоящего Положения,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14:paraId="1E142FBF" w14:textId="23F7E63F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2.10. Член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при получении от </w:t>
      </w:r>
      <w:r w:rsidR="00F56791">
        <w:rPr>
          <w:rFonts w:ascii="Times New Roman" w:eastAsia="SimSun" w:hAnsi="Times New Roman" w:cs="Times New Roman"/>
          <w:sz w:val="24"/>
          <w:szCs w:val="24"/>
          <w:lang w:eastAsia="ru-RU"/>
        </w:rPr>
        <w:t>Союза</w:t>
      </w:r>
      <w:r w:rsidRPr="00A241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п.2.6 настоящего Положения уровня ответственности по обязательствам и требования о необходимости увеличения размера внесенного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Положением.</w:t>
      </w:r>
    </w:p>
    <w:p w14:paraId="07786CFC" w14:textId="7CEFAAE7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2.11. Лицу, прекратившему членство в </w:t>
      </w:r>
      <w:r w:rsidR="00F56791">
        <w:rPr>
          <w:rFonts w:ascii="Times New Roman" w:hAnsi="Times New Roman" w:cs="Times New Roman"/>
          <w:sz w:val="24"/>
          <w:szCs w:val="24"/>
        </w:rPr>
        <w:t>Союзе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не возвращается </w:t>
      </w:r>
      <w:r w:rsidR="000D7E43">
        <w:rPr>
          <w:rFonts w:ascii="Times New Roman" w:hAnsi="Times New Roman" w:cs="Times New Roman"/>
          <w:sz w:val="24"/>
          <w:szCs w:val="24"/>
        </w:rPr>
        <w:t xml:space="preserve">уплаченный </w:t>
      </w:r>
      <w:r w:rsidRPr="00A2410A">
        <w:rPr>
          <w:rFonts w:ascii="Times New Roman" w:hAnsi="Times New Roman" w:cs="Times New Roman"/>
          <w:sz w:val="24"/>
          <w:szCs w:val="24"/>
        </w:rPr>
        <w:t>взнос в компенсационный фонд обеспечения договорных обязательств.</w:t>
      </w:r>
    </w:p>
    <w:p w14:paraId="5394FC01" w14:textId="77777777" w:rsidR="0028575B" w:rsidRPr="00A2410A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DEC6B" w14:textId="77777777" w:rsidR="000D7E43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3. РАЗМЕЩЕНИЕ СРЕДСТВ КОМПЕНСАЦИОННОГО ФОНДА </w:t>
      </w:r>
    </w:p>
    <w:p w14:paraId="1594A42F" w14:textId="40517F50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69C962B6" w14:textId="45A50EF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F56791">
        <w:rPr>
          <w:rFonts w:ascii="Times New Roman" w:hAnsi="Times New Roman" w:cs="Times New Roman"/>
          <w:sz w:val="24"/>
          <w:szCs w:val="24"/>
        </w:rPr>
        <w:t>общее собрание членов 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внутренними документами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.</w:t>
      </w:r>
    </w:p>
    <w:p w14:paraId="6DDCD980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14:paraId="4C90FE3B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14:paraId="71760BA7" w14:textId="6EDD1B0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6D2DAC">
        <w:rPr>
          <w:rFonts w:ascii="Times New Roman" w:hAnsi="Times New Roman" w:cs="Times New Roman"/>
          <w:sz w:val="24"/>
          <w:szCs w:val="24"/>
        </w:rPr>
        <w:t>Союза</w:t>
      </w:r>
      <w:r w:rsidR="006D2DAC"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об остатке средств на специальном счете, а также о средствах компенсационного фонда обеспечения договорных обязательств, размещенных во вкладах (депозитах) и в иных финансовых активах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14:paraId="58A9E6EC" w14:textId="4004D6BF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6CA2A535" w14:textId="26978467" w:rsidR="004035AF" w:rsidRPr="000F225F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225F">
        <w:rPr>
          <w:rFonts w:ascii="Times New Roman" w:hAnsi="Times New Roman" w:cs="Times New Roman"/>
          <w:sz w:val="24"/>
          <w:szCs w:val="24"/>
        </w:rPr>
        <w:t>В случае несоответствия кредитной организации требованиям, предусмотренным частью 1 ста</w:t>
      </w:r>
      <w:r>
        <w:rPr>
          <w:rFonts w:ascii="Times New Roman" w:hAnsi="Times New Roman" w:cs="Times New Roman"/>
          <w:sz w:val="24"/>
          <w:szCs w:val="24"/>
        </w:rPr>
        <w:t>тьи 55.16-1 Градостроительного к</w:t>
      </w:r>
      <w:r w:rsidRPr="000F225F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Союз обязан</w:t>
      </w:r>
      <w:r w:rsidRPr="000F225F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и проценты на сумму таких средств на специальный банковский счет иной кредитной организации, соответствующей требованиям, предусмотрен</w:t>
      </w:r>
      <w:r>
        <w:rPr>
          <w:rFonts w:ascii="Times New Roman" w:hAnsi="Times New Roman" w:cs="Times New Roman"/>
          <w:sz w:val="24"/>
          <w:szCs w:val="24"/>
        </w:rPr>
        <w:t>ным нормами Градостроительного к</w:t>
      </w:r>
      <w:r w:rsidRPr="000F225F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не позднее одного рабочего дня со дня предъявления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14:paraId="36A8DD23" w14:textId="4F2D0427" w:rsidR="004035AF" w:rsidRPr="000F225F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0F225F">
        <w:rPr>
          <w:rFonts w:ascii="Times New Roman" w:hAnsi="Times New Roman" w:cs="Times New Roman"/>
          <w:sz w:val="24"/>
          <w:szCs w:val="24"/>
        </w:rPr>
        <w:t xml:space="preserve">. В случае, если денежные средства компенсационного фонда обеспечения договорных обязательств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.</w:t>
      </w:r>
    </w:p>
    <w:p w14:paraId="07385D5D" w14:textId="39B9CEF5" w:rsidR="004035AF" w:rsidRPr="000F225F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случае, предусмотренном пунктом 3.7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25F">
        <w:rPr>
          <w:rFonts w:ascii="Times New Roman" w:hAnsi="Times New Roman" w:cs="Times New Roman"/>
          <w:sz w:val="24"/>
          <w:szCs w:val="24"/>
        </w:rPr>
        <w:t xml:space="preserve">настоящего Положения, после удовлетворения требований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к кредитной организации денежные средства компенсационного фонда обеспечения договорных обязательств,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14:paraId="18625D81" w14:textId="0B342C61" w:rsidR="004035AF" w:rsidRDefault="004035AF" w:rsidP="004035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случаях, предусмотренных пунктами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3.7. и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3.8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0F225F">
        <w:rPr>
          <w:rFonts w:ascii="Times New Roman" w:hAnsi="Times New Roman" w:cs="Times New Roman"/>
          <w:sz w:val="24"/>
          <w:szCs w:val="24"/>
        </w:rPr>
        <w:t>должны внести взносы в компенсационный фонд обеспечения договорных обязательств в соответствии с частью 6 статьи 55.16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F2240" w14:textId="77777777" w:rsidR="004035AF" w:rsidRPr="00A2410A" w:rsidRDefault="004035AF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759B3" w14:textId="77777777" w:rsidR="000D7E43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4. ВЫПЛАТЫ ИЗ СРЕДСТВ КОМПЕНСАЦИОННОГО ФОНДА </w:t>
      </w:r>
    </w:p>
    <w:p w14:paraId="4E76B6DC" w14:textId="12F45902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53FCFFC4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14:paraId="2BECE6D5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14:paraId="3A60510C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14:paraId="1C1200C5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14:paraId="79B43D03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14:paraId="129585D1" w14:textId="099B550E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Pr="000F225F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14:paraId="0D3B61CB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0F225F">
        <w:rPr>
          <w:rFonts w:ascii="Times New Roman" w:hAnsi="Times New Roman" w:cs="Times New Roman"/>
          <w:sz w:val="24"/>
          <w:szCs w:val="24"/>
        </w:rPr>
        <w:t>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14:paraId="3A236B6F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553CB"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14:paraId="7BDD4E1F" w14:textId="65C86841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 </w:t>
      </w:r>
      <w:r w:rsidR="00F56791">
        <w:rPr>
          <w:rFonts w:ascii="Times New Roman" w:hAnsi="Times New Roman" w:cs="Times New Roman"/>
          <w:sz w:val="24"/>
          <w:szCs w:val="24"/>
        </w:rPr>
        <w:t>Союзе</w:t>
      </w:r>
      <w:r w:rsidRPr="00A2410A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</w:t>
      </w:r>
      <w:r w:rsidR="00F56791">
        <w:rPr>
          <w:rFonts w:ascii="Times New Roman" w:hAnsi="Times New Roman" w:cs="Times New Roman"/>
          <w:sz w:val="24"/>
          <w:szCs w:val="24"/>
        </w:rPr>
        <w:t>анизаций, членом которого являлся Союз</w:t>
      </w:r>
      <w:r w:rsidRPr="00A2410A">
        <w:rPr>
          <w:rFonts w:ascii="Times New Roman" w:hAnsi="Times New Roman" w:cs="Times New Roman"/>
          <w:sz w:val="24"/>
          <w:szCs w:val="24"/>
        </w:rPr>
        <w:t>, и могут быть использованы только для осуществления выплат в связи с наступлением субсидиарной ответственности С</w:t>
      </w:r>
      <w:r w:rsidR="00F56791">
        <w:rPr>
          <w:rFonts w:ascii="Times New Roman" w:hAnsi="Times New Roman" w:cs="Times New Roman"/>
          <w:sz w:val="24"/>
          <w:szCs w:val="24"/>
        </w:rPr>
        <w:t>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 обязательствам его членов, возникшим в случаях, предусмотренных статьей 60.1 Градостроительного кодекса Российской Федерации. </w:t>
      </w:r>
    </w:p>
    <w:p w14:paraId="740B026E" w14:textId="4A25768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4.3. Решение о выплате из средств компенсационного фонда обеспечения договорных обязательств в случаях, предусмотренных н</w:t>
      </w:r>
      <w:r w:rsidR="00F56791">
        <w:rPr>
          <w:rFonts w:ascii="Times New Roman" w:hAnsi="Times New Roman" w:cs="Times New Roman"/>
          <w:sz w:val="24"/>
          <w:szCs w:val="24"/>
        </w:rPr>
        <w:t>астоящим Положением, принимает п</w:t>
      </w:r>
      <w:r w:rsidRPr="00A2410A">
        <w:rPr>
          <w:rFonts w:ascii="Times New Roman" w:hAnsi="Times New Roman" w:cs="Times New Roman"/>
          <w:sz w:val="24"/>
          <w:szCs w:val="24"/>
        </w:rPr>
        <w:t xml:space="preserve">резидиум Союза. </w:t>
      </w:r>
    </w:p>
    <w:p w14:paraId="656929E0" w14:textId="7338B77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4.4. Денежные средства из компенсационного фонда обеспечения договорных обязательств, в случае, предусмотренном п. 4.1.3. настоящего Положения, перечисляются лицу, которое вправе требовать возмещения ущерба,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</w:t>
      </w:r>
      <w:r w:rsidR="000D7E43" w:rsidRPr="00A2410A">
        <w:rPr>
          <w:rFonts w:ascii="Times New Roman" w:hAnsi="Times New Roman" w:cs="Times New Roman"/>
          <w:sz w:val="24"/>
          <w:szCs w:val="24"/>
        </w:rPr>
        <w:t>требования заявителя,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не покрытые возмещением в рамках субсидиарной ответственности, а именно:</w:t>
      </w:r>
    </w:p>
    <w:p w14:paraId="0E785038" w14:textId="316E71F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за счет имущества члена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="004035AF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 xml:space="preserve">в результате действий (бездействий) которого был причинен ущерб,  </w:t>
      </w:r>
    </w:p>
    <w:p w14:paraId="38AA1FA7" w14:textId="4A043E0D" w:rsidR="0028575B" w:rsidRPr="00A2410A" w:rsidRDefault="00F56791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выплат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 кред</w:t>
      </w:r>
      <w:r w:rsidR="004035AF">
        <w:rPr>
          <w:rFonts w:ascii="Times New Roman" w:hAnsi="Times New Roman" w:cs="Times New Roman"/>
          <w:sz w:val="24"/>
          <w:szCs w:val="24"/>
        </w:rPr>
        <w:t>итными организациями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 в рамках предоставленной члену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 банковской гарантии, </w:t>
      </w:r>
    </w:p>
    <w:p w14:paraId="718D230E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-за счет выплат, покрытых страховым возмещением.</w:t>
      </w:r>
    </w:p>
    <w:p w14:paraId="4E86C4AC" w14:textId="457D8028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F56791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.</w:t>
      </w:r>
    </w:p>
    <w:p w14:paraId="2333EC9A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14:paraId="1A089BED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14:paraId="57528D9E" w14:textId="05B212D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14:paraId="150FBAEC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14:paraId="17829F04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14:paraId="091B2789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14:paraId="71C86664" w14:textId="6F23AE5A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(указывается в рублях). </w:t>
      </w:r>
    </w:p>
    <w:p w14:paraId="300D104D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14:paraId="00372B20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14:paraId="5F7E133C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4.8.1. доверенность (копия доверенности, заверенная в том же порядке, в каком выдана доверенность) в необходимых случаях;</w:t>
      </w:r>
    </w:p>
    <w:p w14:paraId="02B4CFE0" w14:textId="77777777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A2410A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14:paraId="6D977587" w14:textId="77777777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A2410A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14:paraId="66849BE0" w14:textId="77777777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  <w:textAlignment w:val="top"/>
      </w:pPr>
      <w:r w:rsidRPr="00A2410A">
        <w:t xml:space="preserve"> нотариально заверенная копия документа, удостоверяющего личность заявителя – индивидуального предпринимателя.</w:t>
      </w:r>
    </w:p>
    <w:p w14:paraId="085CDD6F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4.8.3. 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принявшим такое решение;</w:t>
      </w:r>
    </w:p>
    <w:p w14:paraId="6DA7A4DE" w14:textId="4F328742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4.9. Директор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срок не более 14 дней с момента получения заявления, указанного в п. 4.5. настоящего Положения, осуществляет проверку указанных документов и вынос</w:t>
      </w:r>
      <w:r w:rsidR="00F56791">
        <w:rPr>
          <w:rFonts w:ascii="Times New Roman" w:hAnsi="Times New Roman" w:cs="Times New Roman"/>
          <w:sz w:val="24"/>
          <w:szCs w:val="24"/>
        </w:rPr>
        <w:t>ит мотивированную рекомендацию п</w:t>
      </w:r>
      <w:r w:rsidRPr="00A2410A">
        <w:rPr>
          <w:rFonts w:ascii="Times New Roman" w:hAnsi="Times New Roman" w:cs="Times New Roman"/>
          <w:sz w:val="24"/>
          <w:szCs w:val="24"/>
        </w:rPr>
        <w:t>резидиуму Союза относительно выплаты средств из компенсационного фонда обеспечения договорных обязательств.</w:t>
      </w:r>
    </w:p>
    <w:p w14:paraId="536CC5AB" w14:textId="63FECF5D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4.10. Президиум Союза выносит мотивированное решение о выплате или об отказе в выплате из компенсационного фонда обеспечения договорных обязательств в течен</w:t>
      </w:r>
      <w:r w:rsidR="00F56791">
        <w:rPr>
          <w:rFonts w:ascii="Times New Roman" w:hAnsi="Times New Roman" w:cs="Times New Roman"/>
          <w:sz w:val="24"/>
          <w:szCs w:val="24"/>
        </w:rPr>
        <w:t>ие 14 дней с момента вынесения д</w:t>
      </w:r>
      <w:r w:rsidRPr="00A2410A"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="00F56791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14:paraId="0EE8160E" w14:textId="3B0972B4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При рассмотрении указан</w:t>
      </w:r>
      <w:r w:rsidR="00F56791">
        <w:rPr>
          <w:rFonts w:ascii="Times New Roman" w:hAnsi="Times New Roman" w:cs="Times New Roman"/>
          <w:sz w:val="24"/>
          <w:szCs w:val="24"/>
        </w:rPr>
        <w:t>ного в настоящем пункте вопроса на заседание п</w:t>
      </w:r>
      <w:r w:rsidRPr="00A2410A">
        <w:rPr>
          <w:rFonts w:ascii="Times New Roman" w:hAnsi="Times New Roman" w:cs="Times New Roman"/>
          <w:sz w:val="24"/>
          <w:szCs w:val="24"/>
        </w:rPr>
        <w:t xml:space="preserve">резидиума Союза может быть приглашено лицо, обратившееся с заявлением о возмещении ущерба, и член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14:paraId="78A2BDE5" w14:textId="1A40C3E0" w:rsidR="0028575B" w:rsidRPr="00A2410A" w:rsidRDefault="00F56791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Решение п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резидиума Союза должно быть направлено или вручено лицу, обратившемуся за возмещением ущерба в течение 7 дней с момента вынесения, а также члену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="0028575B" w:rsidRPr="00A2410A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14:paraId="165BFDD8" w14:textId="3EE72889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4.12. </w:t>
      </w:r>
      <w:r w:rsidR="004035AF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вправе запрашивать сведения, связанные с причинением ущерба и выяснением факта возмещения ущерба заявителю членом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у следующих лиц:</w:t>
      </w:r>
    </w:p>
    <w:p w14:paraId="6226007D" w14:textId="5B6BA3C5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по вине которого причинен ущерб заявителю,</w:t>
      </w:r>
    </w:p>
    <w:p w14:paraId="66ED9E04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14:paraId="44D3DACA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 банков,</w:t>
      </w:r>
    </w:p>
    <w:p w14:paraId="7B0BCD92" w14:textId="75EF1D79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  <w:r w:rsidR="004035AF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>а также вправе самостоятельно выяснить причины и обстоятельства причинения ущерба.</w:t>
      </w:r>
    </w:p>
    <w:p w14:paraId="0EDA5620" w14:textId="259FE476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4.13. </w:t>
      </w:r>
      <w:r w:rsidR="004035AF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случаях, установленных статьей 60.1 Градостроительного кодекса Российской Федерации.</w:t>
      </w:r>
    </w:p>
    <w:p w14:paraId="6926B54E" w14:textId="37212BAE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4.14.</w:t>
      </w:r>
      <w:r w:rsidR="004035AF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>Размер выплаты из компенсационного фонда обеспечения договорных обязательств</w:t>
      </w:r>
      <w:r w:rsidR="004035AF">
        <w:rPr>
          <w:rFonts w:ascii="Times New Roman" w:hAnsi="Times New Roman" w:cs="Times New Roman"/>
          <w:sz w:val="24"/>
          <w:szCs w:val="24"/>
        </w:rPr>
        <w:t xml:space="preserve"> </w:t>
      </w:r>
      <w:r w:rsidRPr="00A2410A">
        <w:rPr>
          <w:rFonts w:ascii="Times New Roman" w:hAnsi="Times New Roman" w:cs="Times New Roman"/>
          <w:sz w:val="24"/>
          <w:szCs w:val="24"/>
        </w:rPr>
        <w:t xml:space="preserve">в  результате наступления ответственности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соответствии с частями 1, 2 статьи 60.1 Градостроительного кодекса Российской Федерации, по одному требованию о возмещении реального ущерба вследствие неисполнения или ненадлежащего исполнения членом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обязательств по договору подряда на подготовку проектной документации, заключенному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функций технического заказчика по таким договорам, заключенным от имени застройщика, включая неустойки (штрафа) не может превышать одну четвертую доли средств компенсационного фонда обеспечения договорных обязательств, размер которого рассчитан в соответствии с п.2.2. настоящего Положения, в зависимости от количества ее членов на дату предъявления требования о компенсационной выплате с учетом из фактического уровня ответственности по обязательствам.</w:t>
      </w:r>
    </w:p>
    <w:p w14:paraId="0D066D92" w14:textId="1E2BCF11" w:rsidR="0028575B" w:rsidRPr="00A2410A" w:rsidRDefault="0028575B" w:rsidP="000D7E43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4.15.</w:t>
      </w:r>
      <w:r w:rsidRPr="00A2410A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договорных обязательств по договору подряда на подготовку проектной документации, заключенному с использованием конкурентных способов заключения договоров, а также выплата неустойки (штрафа) по таким договорам члена саморегулируемой организации 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14:paraId="4AA633A9" w14:textId="2FEC3243" w:rsidR="0028575B" w:rsidRPr="00A2410A" w:rsidRDefault="004035AF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В случае принятия п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резидиумом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28575B" w:rsidRPr="00A2410A">
        <w:rPr>
          <w:rFonts w:ascii="Times New Roman" w:hAnsi="Times New Roman" w:cs="Times New Roman"/>
          <w:sz w:val="24"/>
          <w:szCs w:val="24"/>
        </w:rPr>
        <w:t xml:space="preserve"> решения о выплате средств из компенсационного фонда обеспечения договорных обязательств срок выплаты не может быть более 30 дней со дня принятия такого решения. </w:t>
      </w:r>
    </w:p>
    <w:p w14:paraId="6518A805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4.17. Денежные средства из компенсационного фонда обеспечения договорных обязательств перечисляются в безналичной форме.</w:t>
      </w:r>
    </w:p>
    <w:p w14:paraId="7DF2A88C" w14:textId="6FCD4E4C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4.18. Решение Президиума Союза может быть обжаловано в судебном порядке в соответствии с законодательством Российской Федерации.</w:t>
      </w:r>
    </w:p>
    <w:p w14:paraId="393BA956" w14:textId="77777777" w:rsidR="0028575B" w:rsidRPr="00A2410A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95842" w14:textId="77777777" w:rsidR="000D7E43" w:rsidRDefault="0028575B" w:rsidP="0028575B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 xml:space="preserve">5. ВОСПОЛНЕНИЕ СРЕДСТВ КОМПЕНСАЦИОННОГО ФОНДА </w:t>
      </w:r>
    </w:p>
    <w:p w14:paraId="40DC0E9A" w14:textId="5D512370" w:rsidR="0028575B" w:rsidRPr="00A2410A" w:rsidRDefault="0028575B" w:rsidP="0028575B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ОБЕСПЕЧЕНИЯ ДОГОВОРНЫХ ОБЯЗАТЕЛЬСТВ</w:t>
      </w:r>
    </w:p>
    <w:p w14:paraId="1EFC44CB" w14:textId="4356EFCD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>5.1. При снижении размера компенсационного фонда обеспечения договорных обязательств ниже минимального размера, определяемого в соответствии с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4035A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14:paraId="4EE7D94A" w14:textId="105117A5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РФ, член </w:t>
      </w:r>
      <w:r w:rsidR="00FA029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FA029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14:paraId="2F87D8E8" w14:textId="402790E3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5.3. При снижении размера компенсационного фонда обеспечени</w:t>
      </w:r>
      <w:r w:rsidR="00FA029F">
        <w:rPr>
          <w:rFonts w:ascii="Times New Roman" w:hAnsi="Times New Roman" w:cs="Times New Roman"/>
          <w:sz w:val="24"/>
          <w:szCs w:val="24"/>
        </w:rPr>
        <w:t xml:space="preserve">я в случаях, предусмотренных пунктами 5.1 и </w:t>
      </w:r>
      <w:r w:rsidRPr="00A2410A">
        <w:rPr>
          <w:rFonts w:ascii="Times New Roman" w:hAnsi="Times New Roman" w:cs="Times New Roman"/>
          <w:sz w:val="24"/>
          <w:szCs w:val="24"/>
        </w:rPr>
        <w:t>5.2 настоящего Положения решение о дополнительных взносах в компенсационный фонд обеспечения договорных обязательств с целью его</w:t>
      </w:r>
      <w:r w:rsidR="00FA029F">
        <w:rPr>
          <w:rFonts w:ascii="Times New Roman" w:hAnsi="Times New Roman" w:cs="Times New Roman"/>
          <w:sz w:val="24"/>
          <w:szCs w:val="24"/>
        </w:rPr>
        <w:t xml:space="preserve"> восполнения принимает о</w:t>
      </w:r>
      <w:r w:rsidRPr="00A2410A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FA029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>. В решении должно быть указано:</w:t>
      </w:r>
    </w:p>
    <w:p w14:paraId="0998FAC6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14:paraId="4CD94423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14:paraId="4617D41F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14:paraId="5642C552" w14:textId="76EC4CCE" w:rsidR="0028575B" w:rsidRDefault="0028575B" w:rsidP="00FA02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</w:p>
    <w:p w14:paraId="624B665B" w14:textId="77777777" w:rsidR="00FA029F" w:rsidRPr="00A2410A" w:rsidRDefault="00FA029F" w:rsidP="00FA029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8CEDA" w14:textId="77777777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0A">
        <w:rPr>
          <w:rFonts w:ascii="Times New Roman" w:hAnsi="Times New Roman" w:cs="Times New Roman"/>
          <w:b/>
          <w:sz w:val="24"/>
          <w:szCs w:val="24"/>
        </w:rPr>
        <w:t>6. КОНТРОЛЬ ЗА СОСТОЯНИЕМ КОМПЕНСАЦИОННОГО ФОНДА ОБЕСПЕЧЕНИЯ ДОГОВОРНЫХ ОБЯЗАТЕЛЬСТВ</w:t>
      </w:r>
    </w:p>
    <w:p w14:paraId="62790204" w14:textId="26D8BD60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6.1. Контроль за состоянием компенсационного фонда обеспечения договорных обязательств осуществляется </w:t>
      </w:r>
      <w:r w:rsidR="00FA029F">
        <w:rPr>
          <w:rFonts w:ascii="Times New Roman" w:hAnsi="Times New Roman" w:cs="Times New Roman"/>
          <w:sz w:val="24"/>
          <w:szCs w:val="24"/>
        </w:rPr>
        <w:t>Союзом</w:t>
      </w:r>
      <w:r w:rsidRPr="00A2410A">
        <w:rPr>
          <w:rFonts w:ascii="Times New Roman" w:hAnsi="Times New Roman" w:cs="Times New Roman"/>
          <w:sz w:val="24"/>
          <w:szCs w:val="24"/>
        </w:rPr>
        <w:t xml:space="preserve"> в соответствии с внутренними документами.</w:t>
      </w:r>
    </w:p>
    <w:p w14:paraId="574F31B6" w14:textId="65DF646F" w:rsidR="0028575B" w:rsidRPr="00A2410A" w:rsidRDefault="0028575B" w:rsidP="000D7E4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6.2. Информация о текущем размере компенсационного фонда обесп</w:t>
      </w:r>
      <w:r w:rsidR="00FA029F">
        <w:rPr>
          <w:rFonts w:ascii="Times New Roman" w:hAnsi="Times New Roman" w:cs="Times New Roman"/>
          <w:sz w:val="24"/>
          <w:szCs w:val="24"/>
        </w:rPr>
        <w:t>ечения договорных обязательств</w:t>
      </w:r>
      <w:r w:rsidRPr="00A2410A">
        <w:rPr>
          <w:rFonts w:ascii="Times New Roman" w:hAnsi="Times New Roman" w:cs="Times New Roman"/>
          <w:sz w:val="24"/>
          <w:szCs w:val="24"/>
        </w:rPr>
        <w:t xml:space="preserve"> должна размещаться на официальном сайте </w:t>
      </w:r>
      <w:r w:rsidR="00FA029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</w:t>
      </w:r>
      <w:r w:rsidR="00FA029F" w:rsidRPr="00FA029F">
        <w:rPr>
          <w:rFonts w:ascii="Times New Roman" w:hAnsi="Times New Roman" w:cs="Times New Roman"/>
          <w:sz w:val="24"/>
          <w:szCs w:val="24"/>
        </w:rPr>
        <w:t>ежеквартально не позднее чем в течение пяти рабочих дней с начала очередного квартала</w:t>
      </w:r>
      <w:r w:rsidR="00FA029F">
        <w:rPr>
          <w:rFonts w:ascii="Times New Roman" w:hAnsi="Times New Roman" w:cs="Times New Roman"/>
          <w:sz w:val="24"/>
          <w:szCs w:val="24"/>
        </w:rPr>
        <w:t>.</w:t>
      </w:r>
    </w:p>
    <w:p w14:paraId="1433004A" w14:textId="3513F088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6.3. При снижении размера компенсационного фонда обеспечения договорных обязательств ниже минимального размера, о</w:t>
      </w:r>
      <w:r w:rsidR="00FA029F">
        <w:rPr>
          <w:rFonts w:ascii="Times New Roman" w:hAnsi="Times New Roman" w:cs="Times New Roman"/>
          <w:sz w:val="24"/>
          <w:szCs w:val="24"/>
        </w:rPr>
        <w:t xml:space="preserve">пределяемого в соответствии с пунктом </w:t>
      </w:r>
      <w:r w:rsidRPr="00A2410A">
        <w:rPr>
          <w:rFonts w:ascii="Times New Roman" w:hAnsi="Times New Roman" w:cs="Times New Roman"/>
          <w:sz w:val="24"/>
          <w:szCs w:val="24"/>
        </w:rPr>
        <w:t>2.5 настоящего Положения или пр</w:t>
      </w:r>
      <w:r w:rsidR="00FA029F">
        <w:rPr>
          <w:rFonts w:ascii="Times New Roman" w:hAnsi="Times New Roman" w:cs="Times New Roman"/>
          <w:sz w:val="24"/>
          <w:szCs w:val="24"/>
        </w:rPr>
        <w:t>и угрозе такого возникновения, д</w:t>
      </w:r>
      <w:r w:rsidRPr="00A2410A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FA029F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о</w:t>
      </w:r>
      <w:r w:rsidR="00FA029F">
        <w:rPr>
          <w:rFonts w:ascii="Times New Roman" w:hAnsi="Times New Roman" w:cs="Times New Roman"/>
          <w:sz w:val="24"/>
          <w:szCs w:val="24"/>
        </w:rPr>
        <w:t>бязан проинформировать об этом п</w:t>
      </w:r>
      <w:r w:rsidRPr="00A2410A">
        <w:rPr>
          <w:rFonts w:ascii="Times New Roman" w:hAnsi="Times New Roman" w:cs="Times New Roman"/>
          <w:sz w:val="24"/>
          <w:szCs w:val="24"/>
        </w:rPr>
        <w:t xml:space="preserve">резидиум Союза. </w:t>
      </w:r>
    </w:p>
    <w:p w14:paraId="039EE350" w14:textId="77777777" w:rsidR="0028575B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4F33F" w14:textId="77777777" w:rsidR="00FA029F" w:rsidRDefault="0028575B" w:rsidP="007D4189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CB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ЗАЙМОВ ЗА СЧЕТ СРЕДСТВ КОМПЕНСАЦИОННОГО ФОНДА ОБЕСПЕЧЕНИЯ ДОГОВОРНЫХ ОБЯЗАТЕЛЬСТВ </w:t>
      </w:r>
    </w:p>
    <w:p w14:paraId="01833208" w14:textId="1D680999" w:rsidR="0028575B" w:rsidRDefault="0028575B" w:rsidP="007D4189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ПОРЯДОК ОСУЩЕСТВЛЕНИЯ КОНТРОЛЯ ЗА ИСПОЛЬЗОВАНИЕМ СРЕДСТВ, ПРЕДОСТАВЛЕННЫХ ПО ТАКИМ ЗАЙМАМ</w:t>
      </w:r>
    </w:p>
    <w:p w14:paraId="5A7762EB" w14:textId="7939CAEF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 Займы за счет средств компенсационного фонда обеспечения договорных обязательств предоставляются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до </w:t>
      </w:r>
      <w:r w:rsidRPr="0038190B">
        <w:rPr>
          <w:rFonts w:ascii="Times New Roman" w:hAnsi="Times New Roman" w:cs="Times New Roman"/>
          <w:sz w:val="24"/>
          <w:szCs w:val="24"/>
        </w:rPr>
        <w:t>1 января 202</w:t>
      </w:r>
      <w:r w:rsidR="00B47938" w:rsidRPr="0038190B">
        <w:rPr>
          <w:rFonts w:ascii="Times New Roman" w:hAnsi="Times New Roman" w:cs="Times New Roman"/>
          <w:sz w:val="24"/>
          <w:szCs w:val="24"/>
        </w:rPr>
        <w:t>4</w:t>
      </w:r>
      <w:r w:rsidRPr="003819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11AB92F" w14:textId="763244FE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EB2B9F">
        <w:rPr>
          <w:rFonts w:ascii="Times New Roman" w:hAnsi="Times New Roman" w:cs="Times New Roman"/>
          <w:sz w:val="24"/>
          <w:szCs w:val="24"/>
        </w:rPr>
        <w:t xml:space="preserve"> определяются п</w:t>
      </w:r>
      <w:r w:rsidRPr="000F22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езидиумом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</w:t>
      </w:r>
      <w:r w:rsidR="00EB2B9F">
        <w:rPr>
          <w:rFonts w:ascii="Times New Roman" w:hAnsi="Times New Roman" w:cs="Times New Roman"/>
          <w:sz w:val="24"/>
          <w:szCs w:val="24"/>
        </w:rPr>
        <w:t>определяемого на день принятия п</w:t>
      </w:r>
      <w:r>
        <w:rPr>
          <w:rFonts w:ascii="Times New Roman" w:hAnsi="Times New Roman" w:cs="Times New Roman"/>
          <w:sz w:val="24"/>
          <w:szCs w:val="24"/>
        </w:rPr>
        <w:t>резидиумом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– договор займа) в соответствии с решением </w:t>
      </w:r>
      <w:r w:rsidR="00EB2B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резидиума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0F225F">
        <w:rPr>
          <w:rFonts w:ascii="Times New Roman" w:hAnsi="Times New Roman" w:cs="Times New Roman"/>
          <w:sz w:val="24"/>
          <w:szCs w:val="24"/>
        </w:rPr>
        <w:t xml:space="preserve">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14:paraId="693F2021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14:paraId="35C08CF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14:paraId="36EBFC87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16438E01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б) приобретение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14:paraId="38AB705D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24027BE0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14:paraId="0E56FCEC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14:paraId="3A319438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1B1001D0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14:paraId="5022376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14:paraId="4BB3E553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14:paraId="4F716D81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член Союза </w:t>
      </w:r>
      <w:r w:rsidRPr="000F225F">
        <w:rPr>
          <w:rFonts w:ascii="Times New Roman" w:hAnsi="Times New Roman" w:cs="Times New Roman"/>
          <w:sz w:val="24"/>
          <w:szCs w:val="24"/>
        </w:rPr>
        <w:t>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14:paraId="4D82CB39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б)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14:paraId="2DBB2FFC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в)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012CAE11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г)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14:paraId="2A1E7BA6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д)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14:paraId="6E7A4EFE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65355ABF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14:paraId="4AE74C58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2668A895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14:paraId="18182317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14:paraId="7106DD5A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2F66C826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и)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14:paraId="1519166D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14:paraId="7E7E050C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14:paraId="43949911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к)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14:paraId="36C0F6D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л)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14:paraId="23C9A15F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м)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14:paraId="09406D2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;</w:t>
      </w:r>
    </w:p>
    <w:p w14:paraId="07A7B75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4830BC4D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Союзом </w:t>
      </w:r>
      <w:r w:rsidRPr="000F225F">
        <w:rPr>
          <w:rFonts w:ascii="Times New Roman" w:hAnsi="Times New Roman" w:cs="Times New Roman"/>
          <w:sz w:val="24"/>
          <w:szCs w:val="24"/>
        </w:rPr>
        <w:t>договора займа);</w:t>
      </w:r>
    </w:p>
    <w:p w14:paraId="10B4A4F3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14:paraId="7D28C2FC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14:paraId="1FCD2D0B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14:paraId="1D45BD4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договор банковского счета, указанный в подпункте «и» пункта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F225F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14:paraId="177A8B0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14:paraId="5333932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14:paraId="7CA05D29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14:paraId="2F22D79F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14:paraId="66B6ADA0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подает в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0F225F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.7 настоящего Положения. В случае, если способом обеспечения исполнения обязательств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по договору займа определен залог имущества,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14:paraId="092FBC2E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0F225F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14:paraId="0752D727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14:paraId="1014AD9E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.11.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0F225F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0F225F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14:paraId="04552D97" w14:textId="65089EEF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2B9F">
        <w:rPr>
          <w:rFonts w:ascii="Times New Roman" w:hAnsi="Times New Roman" w:cs="Times New Roman"/>
          <w:sz w:val="24"/>
          <w:szCs w:val="24"/>
        </w:rPr>
        <w:t>.12. В день принятия п</w:t>
      </w:r>
      <w:r w:rsidRPr="000F22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езидиумом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EB2B9F"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обеспечивает осуще</w:t>
      </w:r>
      <w:r w:rsidR="00EB2B9F">
        <w:rPr>
          <w:rFonts w:ascii="Times New Roman" w:hAnsi="Times New Roman" w:cs="Times New Roman"/>
          <w:sz w:val="24"/>
          <w:szCs w:val="24"/>
        </w:rPr>
        <w:t>ствление расчета размера части к</w:t>
      </w:r>
      <w:r w:rsidRPr="000F225F">
        <w:rPr>
          <w:rFonts w:ascii="Times New Roman" w:hAnsi="Times New Roman" w:cs="Times New Roman"/>
          <w:sz w:val="24"/>
          <w:szCs w:val="24"/>
        </w:rPr>
        <w:t>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14:paraId="52C2AD41" w14:textId="47D0A76B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>иректор</w:t>
      </w:r>
      <w:r w:rsidR="00EB2B9F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14:paraId="117D87AF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.13. Пр</w:t>
      </w:r>
      <w:r>
        <w:rPr>
          <w:rFonts w:ascii="Times New Roman" w:hAnsi="Times New Roman" w:cs="Times New Roman"/>
          <w:sz w:val="24"/>
          <w:szCs w:val="24"/>
        </w:rPr>
        <w:t>езидиум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14:paraId="17CAFBB9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14:paraId="6127B60E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14:paraId="4B802CB9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14:paraId="0F4095CB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14:paraId="3BBF456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14:paraId="33D5F375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.15. Решение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14:paraId="31E99916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.16.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14:paraId="69A2A2B4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</w:t>
      </w:r>
      <w:r w:rsidRPr="000B7658">
        <w:rPr>
          <w:rFonts w:ascii="Times New Roman" w:hAnsi="Times New Roman" w:cs="Times New Roman"/>
          <w:sz w:val="24"/>
          <w:szCs w:val="24"/>
        </w:rPr>
        <w:t xml:space="preserve">Президиума Союза </w:t>
      </w:r>
      <w:r w:rsidRPr="000F225F">
        <w:rPr>
          <w:rFonts w:ascii="Times New Roman" w:hAnsi="Times New Roman" w:cs="Times New Roman"/>
          <w:sz w:val="24"/>
          <w:szCs w:val="24"/>
        </w:rPr>
        <w:t xml:space="preserve">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>.</w:t>
      </w:r>
    </w:p>
    <w:p w14:paraId="1F48B8B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0F225F">
        <w:rPr>
          <w:rFonts w:ascii="Times New Roman" w:hAnsi="Times New Roman" w:cs="Times New Roman"/>
          <w:sz w:val="24"/>
          <w:szCs w:val="24"/>
        </w:rPr>
        <w:t>:</w:t>
      </w:r>
    </w:p>
    <w:p w14:paraId="43E24E52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5BE36878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14:paraId="3E2BA4C7" w14:textId="6D75281D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.7 Положения, </w:t>
      </w:r>
      <w:r>
        <w:rPr>
          <w:rFonts w:ascii="Times New Roman" w:hAnsi="Times New Roman" w:cs="Times New Roman"/>
          <w:sz w:val="24"/>
          <w:szCs w:val="24"/>
        </w:rPr>
        <w:t>Президиум 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EE10A0"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14:paraId="2B5D3053" w14:textId="5382ED3E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>
        <w:rPr>
          <w:rFonts w:ascii="Times New Roman" w:hAnsi="Times New Roman" w:cs="Times New Roman"/>
          <w:sz w:val="24"/>
          <w:szCs w:val="24"/>
        </w:rPr>
        <w:t>Союзом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срок </w:t>
      </w:r>
      <w:r w:rsidR="00EE10A0"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14:paraId="3113A550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.21.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</w:t>
      </w:r>
      <w:r>
        <w:rPr>
          <w:rFonts w:ascii="Times New Roman" w:hAnsi="Times New Roman" w:cs="Times New Roman"/>
          <w:sz w:val="24"/>
          <w:szCs w:val="24"/>
        </w:rPr>
        <w:t>Президиум</w:t>
      </w:r>
      <w:r w:rsidRPr="000F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14:paraId="59B9BAA3" w14:textId="589DB934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 xml:space="preserve">.22.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225F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саморегулируемых организаций, </w:t>
      </w:r>
      <w:r w:rsidR="00EE10A0">
        <w:rPr>
          <w:rFonts w:ascii="Times New Roman" w:hAnsi="Times New Roman" w:cs="Times New Roman"/>
          <w:sz w:val="24"/>
          <w:szCs w:val="24"/>
        </w:rPr>
        <w:t>членом которого является</w:t>
      </w:r>
      <w:r w:rsidRPr="000F225F">
        <w:rPr>
          <w:rFonts w:ascii="Times New Roman" w:hAnsi="Times New Roman" w:cs="Times New Roman"/>
          <w:sz w:val="24"/>
          <w:szCs w:val="24"/>
        </w:rPr>
        <w:t>:</w:t>
      </w:r>
    </w:p>
    <w:p w14:paraId="4539F17B" w14:textId="77777777" w:rsidR="0028575B" w:rsidRPr="000F225F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14:paraId="5AF1D599" w14:textId="795CC6A3" w:rsidR="0028575B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25F">
        <w:rPr>
          <w:rFonts w:ascii="Times New Roman" w:hAnsi="Times New Roman" w:cs="Times New Roman"/>
          <w:sz w:val="24"/>
          <w:szCs w:val="24"/>
        </w:rPr>
        <w:t xml:space="preserve">- сводный отчет о движении денежных средств на банковском счете члена </w:t>
      </w:r>
      <w:r w:rsidR="000D3F40">
        <w:rPr>
          <w:rFonts w:ascii="Times New Roman" w:hAnsi="Times New Roman" w:cs="Times New Roman"/>
          <w:sz w:val="24"/>
          <w:szCs w:val="24"/>
        </w:rPr>
        <w:t>Союза</w:t>
      </w:r>
      <w:r w:rsidRPr="000F225F">
        <w:rPr>
          <w:rFonts w:ascii="Times New Roman" w:hAnsi="Times New Roman" w:cs="Times New Roman"/>
          <w:sz w:val="24"/>
          <w:szCs w:val="24"/>
        </w:rPr>
        <w:t xml:space="preserve">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14:paraId="0A9C273A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225F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14:paraId="23998AFA" w14:textId="77777777" w:rsidR="0028575B" w:rsidRPr="00A2410A" w:rsidRDefault="0028575B" w:rsidP="002857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5676B" w14:textId="77777777" w:rsidR="0028575B" w:rsidRPr="00A2410A" w:rsidRDefault="0028575B" w:rsidP="0028575B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2410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17874CF8" w14:textId="6F50797C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10A">
        <w:rPr>
          <w:rFonts w:ascii="Times New Roman" w:hAnsi="Times New Roman" w:cs="Times New Roman"/>
          <w:sz w:val="24"/>
          <w:szCs w:val="24"/>
        </w:rPr>
        <w:t xml:space="preserve">.1. </w:t>
      </w:r>
      <w:r w:rsidRPr="00EC3850">
        <w:rPr>
          <w:rFonts w:ascii="Times New Roman" w:hAnsi="Times New Roman" w:cs="Times New Roman"/>
          <w:sz w:val="24"/>
          <w:szCs w:val="24"/>
        </w:rPr>
        <w:t xml:space="preserve">При исключении </w:t>
      </w:r>
      <w:r w:rsidR="00EE10A0">
        <w:rPr>
          <w:rFonts w:ascii="Times New Roman" w:hAnsi="Times New Roman" w:cs="Times New Roman"/>
          <w:sz w:val="24"/>
          <w:szCs w:val="24"/>
        </w:rPr>
        <w:t>Союза</w:t>
      </w:r>
      <w:r w:rsidRPr="00EC3850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</w:t>
      </w:r>
      <w:r w:rsidR="000D3F40">
        <w:rPr>
          <w:rFonts w:ascii="Times New Roman" w:hAnsi="Times New Roman" w:cs="Times New Roman"/>
          <w:sz w:val="24"/>
          <w:szCs w:val="24"/>
        </w:rPr>
        <w:t>являлся Союз</w:t>
      </w:r>
      <w:r w:rsidRPr="00EC3850">
        <w:rPr>
          <w:rFonts w:ascii="Times New Roman" w:hAnsi="Times New Roman" w:cs="Times New Roman"/>
          <w:sz w:val="24"/>
          <w:szCs w:val="24"/>
        </w:rPr>
        <w:t>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обязательств. Кредитная организация переводит средства компенсационного фонда обеспечения договорных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Pr="00EC3850">
        <w:rPr>
          <w:rFonts w:ascii="Times New Roman" w:hAnsi="Times New Roman" w:cs="Times New Roman"/>
          <w:sz w:val="24"/>
          <w:szCs w:val="24"/>
        </w:rPr>
        <w:t>в соответствии с таким требованием о переводе.</w:t>
      </w:r>
    </w:p>
    <w:p w14:paraId="3CA0827D" w14:textId="3C3493D9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10A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E10A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допускается снижение не более чем в два раза минимального количества членов </w:t>
      </w:r>
      <w:r w:rsidR="00EE10A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E10A0">
        <w:rPr>
          <w:rFonts w:ascii="Times New Roman" w:hAnsi="Times New Roman" w:cs="Times New Roman"/>
          <w:sz w:val="24"/>
          <w:szCs w:val="24"/>
        </w:rPr>
        <w:t>Союза</w:t>
      </w:r>
      <w:r w:rsidRPr="00A2410A">
        <w:rPr>
          <w:rFonts w:ascii="Times New Roman" w:hAnsi="Times New Roman" w:cs="Times New Roman"/>
          <w:sz w:val="24"/>
          <w:szCs w:val="24"/>
        </w:rPr>
        <w:t xml:space="preserve"> с учетом их фактического уровня ответственности по обязательствам.</w:t>
      </w:r>
    </w:p>
    <w:p w14:paraId="74BAB851" w14:textId="778466C0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410A">
        <w:rPr>
          <w:rFonts w:ascii="Times New Roman" w:hAnsi="Times New Roman" w:cs="Times New Roman"/>
          <w:sz w:val="24"/>
          <w:szCs w:val="24"/>
        </w:rPr>
        <w:t xml:space="preserve">.3. </w:t>
      </w:r>
      <w:r w:rsidR="00EE10A0">
        <w:rPr>
          <w:rFonts w:ascii="Times New Roman" w:hAnsi="Times New Roman" w:cs="Times New Roman"/>
          <w:sz w:val="24"/>
          <w:szCs w:val="24"/>
        </w:rPr>
        <w:t>Союз</w:t>
      </w:r>
      <w:r w:rsidRPr="00A2410A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14:paraId="3A3E037F" w14:textId="77777777" w:rsidR="0028575B" w:rsidRPr="00A2410A" w:rsidRDefault="0028575B" w:rsidP="000D7E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2410A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Pr="00A2410A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Положение, решения о признании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14:paraId="7818F394" w14:textId="6FA008C4" w:rsidR="0028575B" w:rsidRPr="00A2410A" w:rsidRDefault="0028575B" w:rsidP="000D7E43">
      <w:pPr>
        <w:pStyle w:val="a3"/>
        <w:spacing w:before="0" w:beforeAutospacing="0" w:after="0" w:afterAutospacing="0"/>
        <w:ind w:right="-1" w:firstLine="567"/>
        <w:jc w:val="both"/>
      </w:pPr>
      <w:r>
        <w:t>8</w:t>
      </w:r>
      <w:r w:rsidRPr="00A2410A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E10A0">
        <w:t>Союза</w:t>
      </w:r>
      <w:r w:rsidRPr="00A2410A">
        <w:t xml:space="preserve"> руководствуются законодательством и нормативными актами Российской Федерации. </w:t>
      </w:r>
    </w:p>
    <w:p w14:paraId="704569CD" w14:textId="77777777" w:rsidR="001C47D3" w:rsidRDefault="001C47D3" w:rsidP="000D7E43">
      <w:pPr>
        <w:ind w:right="-1" w:firstLine="567"/>
      </w:pPr>
    </w:p>
    <w:sectPr w:rsidR="001C47D3" w:rsidSect="000D7E4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F74B" w14:textId="77777777" w:rsidR="00A27DBA" w:rsidRDefault="00A27DBA">
      <w:pPr>
        <w:spacing w:after="0" w:line="240" w:lineRule="auto"/>
      </w:pPr>
      <w:r>
        <w:separator/>
      </w:r>
    </w:p>
  </w:endnote>
  <w:endnote w:type="continuationSeparator" w:id="0">
    <w:p w14:paraId="79CB2870" w14:textId="77777777" w:rsidR="00A27DBA" w:rsidRDefault="00A2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980E" w14:textId="59AA8A41" w:rsidR="00B53BDE" w:rsidRDefault="000D3F40" w:rsidP="000D3F40">
    <w:pPr>
      <w:pStyle w:val="a6"/>
      <w:jc w:val="center"/>
    </w:pPr>
  </w:p>
  <w:p w14:paraId="6BAF0EAD" w14:textId="77777777" w:rsidR="00B53BDE" w:rsidRDefault="000D3F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05FB" w14:textId="77777777" w:rsidR="00A27DBA" w:rsidRDefault="00A27DBA">
      <w:pPr>
        <w:spacing w:after="0" w:line="240" w:lineRule="auto"/>
      </w:pPr>
      <w:r>
        <w:separator/>
      </w:r>
    </w:p>
  </w:footnote>
  <w:footnote w:type="continuationSeparator" w:id="0">
    <w:p w14:paraId="405D4664" w14:textId="77777777" w:rsidR="00A27DBA" w:rsidRDefault="00A2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04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B2B86F" w14:textId="05D69B03" w:rsidR="000D3F40" w:rsidRPr="000D3F40" w:rsidRDefault="000D3F40">
        <w:pPr>
          <w:pStyle w:val="af"/>
          <w:jc w:val="center"/>
          <w:rPr>
            <w:rFonts w:ascii="Times New Roman" w:hAnsi="Times New Roman" w:cs="Times New Roman"/>
          </w:rPr>
        </w:pPr>
        <w:r w:rsidRPr="000D3F40">
          <w:rPr>
            <w:rFonts w:ascii="Times New Roman" w:hAnsi="Times New Roman" w:cs="Times New Roman"/>
          </w:rPr>
          <w:fldChar w:fldCharType="begin"/>
        </w:r>
        <w:r w:rsidRPr="000D3F40">
          <w:rPr>
            <w:rFonts w:ascii="Times New Roman" w:hAnsi="Times New Roman" w:cs="Times New Roman"/>
          </w:rPr>
          <w:instrText>PAGE   \* MERGEFORMAT</w:instrText>
        </w:r>
        <w:r w:rsidRPr="000D3F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D3F40">
          <w:rPr>
            <w:rFonts w:ascii="Times New Roman" w:hAnsi="Times New Roman" w:cs="Times New Roman"/>
          </w:rPr>
          <w:fldChar w:fldCharType="end"/>
        </w:r>
      </w:p>
    </w:sdtContent>
  </w:sdt>
  <w:p w14:paraId="690A53DD" w14:textId="083F4EBE" w:rsidR="000D3F40" w:rsidRPr="000D3F40" w:rsidRDefault="000D3F40" w:rsidP="000D3F40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D83"/>
    <w:multiLevelType w:val="hybridMultilevel"/>
    <w:tmpl w:val="E39C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2F84"/>
    <w:multiLevelType w:val="hybridMultilevel"/>
    <w:tmpl w:val="D7EAB490"/>
    <w:lvl w:ilvl="0" w:tplc="F5683D30">
      <w:start w:val="2023"/>
      <w:numFmt w:val="decimal"/>
      <w:lvlText w:val="%1"/>
      <w:lvlJc w:val="left"/>
      <w:pPr>
        <w:ind w:left="4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6C"/>
    <w:rsid w:val="000D3F40"/>
    <w:rsid w:val="000D7E43"/>
    <w:rsid w:val="001C47D3"/>
    <w:rsid w:val="0028575B"/>
    <w:rsid w:val="0038190B"/>
    <w:rsid w:val="004035AF"/>
    <w:rsid w:val="006D2DAC"/>
    <w:rsid w:val="007D4189"/>
    <w:rsid w:val="007E20DA"/>
    <w:rsid w:val="00952316"/>
    <w:rsid w:val="00961A6C"/>
    <w:rsid w:val="00A27DBA"/>
    <w:rsid w:val="00B47938"/>
    <w:rsid w:val="00DC1825"/>
    <w:rsid w:val="00EB2B9F"/>
    <w:rsid w:val="00EE10A0"/>
    <w:rsid w:val="00F56791"/>
    <w:rsid w:val="00FA029F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48666"/>
  <w15:chartTrackingRefBased/>
  <w15:docId w15:val="{0FC22B24-E624-416D-B4A5-F31A492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5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5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28575B"/>
  </w:style>
  <w:style w:type="character" w:customStyle="1" w:styleId="apple-converted-space">
    <w:name w:val="apple-converted-space"/>
    <w:rsid w:val="0028575B"/>
  </w:style>
  <w:style w:type="character" w:styleId="a4">
    <w:name w:val="Hyperlink"/>
    <w:basedOn w:val="a0"/>
    <w:uiPriority w:val="99"/>
    <w:semiHidden/>
    <w:unhideWhenUsed/>
    <w:rsid w:val="002857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75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8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75B"/>
  </w:style>
  <w:style w:type="character" w:styleId="a8">
    <w:name w:val="annotation reference"/>
    <w:basedOn w:val="a0"/>
    <w:uiPriority w:val="99"/>
    <w:semiHidden/>
    <w:unhideWhenUsed/>
    <w:rsid w:val="002857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7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75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75B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D7E4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D7E4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D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1C9E-8BC8-4855-B236-88AD428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6809</Words>
  <Characters>38815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2023-05-22T13:13:00Z</dcterms:created>
  <dcterms:modified xsi:type="dcterms:W3CDTF">2023-05-22T14:16:00Z</dcterms:modified>
</cp:coreProperties>
</file>